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FD8BF" w14:textId="22FEE176" w:rsidR="00021F05" w:rsidRPr="001056C5" w:rsidRDefault="00021F05" w:rsidP="00021F0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</w:t>
      </w:r>
      <w:r w:rsidR="007F134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ожение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№1</w:t>
      </w:r>
    </w:p>
    <w:p w14:paraId="726B235A" w14:textId="77777777" w:rsidR="00021F05" w:rsidRPr="001056C5" w:rsidRDefault="00021F05" w:rsidP="007F13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56C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Скала на Медведев-Шпонхоер-Карник</w:t>
      </w:r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smartTag w:uri="urn:schemas-microsoft-com:office:smarttags" w:element="stockticker">
        <w:r w:rsidRPr="001056C5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MSK</w:t>
        </w:r>
      </w:smartTag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64). Най-често използваната сеизмична скала в </w:t>
      </w:r>
      <w:hyperlink r:id="rId5" w:tooltip="Европа" w:history="1">
        <w:r w:rsidRPr="001056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Европа</w:t>
        </w:r>
      </w:hyperlink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hyperlink r:id="rId6" w:tooltip="Индия" w:history="1">
        <w:r w:rsidRPr="001056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Индия</w:t>
        </w:r>
      </w:hyperlink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създадена през </w:t>
      </w:r>
      <w:hyperlink r:id="rId7" w:tooltip="1964" w:history="1">
        <w:r w:rsidRPr="001056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1964</w:t>
        </w:r>
      </w:hyperlink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Тя се базира на разрушенията по сградите и затова зависи от издръжливостта им. Поради различната издръжливост на нови и стари сгради, се получават големи отклонения. Скалата е ревизирана през </w:t>
      </w:r>
      <w:hyperlink r:id="rId8" w:tooltip="1981" w:history="1">
        <w:r w:rsidRPr="001056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1981</w:t>
        </w:r>
      </w:hyperlink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(</w:t>
      </w:r>
      <w:smartTag w:uri="urn:schemas-microsoft-com:office:smarttags" w:element="stockticker">
        <w:r w:rsidRPr="001056C5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MSK</w:t>
        </w:r>
      </w:smartTag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81), а през </w:t>
      </w:r>
      <w:hyperlink r:id="rId9" w:tooltip="1998" w:history="1">
        <w:r w:rsidRPr="001056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1998</w:t>
        </w:r>
      </w:hyperlink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е заменена от </w:t>
      </w:r>
      <w:hyperlink r:id="rId10" w:tooltip="Европейска макросеизмична скала" w:history="1">
        <w:r w:rsidRPr="001056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Европейската макросеизмична скала</w:t>
        </w:r>
      </w:hyperlink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smartTag w:uri="urn:schemas-microsoft-com:office:smarttags" w:element="stockticker">
        <w:r w:rsidRPr="001056C5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EMS</w:t>
        </w:r>
      </w:smartTag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>).</w:t>
      </w:r>
    </w:p>
    <w:p w14:paraId="1338193A" w14:textId="77777777" w:rsidR="00021F05" w:rsidRPr="001056C5" w:rsidRDefault="00021F05" w:rsidP="007F13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>Скалата на Медведев-Шпонхойер-Карник класифицира земетресенията в степени (балове) от 1 до 12 степени въз основа на три критерия:</w:t>
      </w:r>
    </w:p>
    <w:p w14:paraId="6A2C7E57" w14:textId="77777777" w:rsidR="00021F05" w:rsidRPr="001056C5" w:rsidRDefault="00021F05" w:rsidP="007F134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>Усещанията на хората</w:t>
      </w:r>
    </w:p>
    <w:p w14:paraId="47F7B941" w14:textId="77777777" w:rsidR="00021F05" w:rsidRPr="001056C5" w:rsidRDefault="00021F05" w:rsidP="007F134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Въздействие върху сградите</w:t>
      </w:r>
    </w:p>
    <w:p w14:paraId="058AD0CD" w14:textId="77777777" w:rsidR="00021F05" w:rsidRPr="001056C5" w:rsidRDefault="00021F05" w:rsidP="007F134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>Остатъчни деформации в земната основа и изменения в режима подземните води</w:t>
      </w:r>
    </w:p>
    <w:p w14:paraId="39790850" w14:textId="77777777" w:rsidR="00021F05" w:rsidRPr="001056C5" w:rsidRDefault="00021F05" w:rsidP="007F13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тази скала 1-ва, 2-ра и 3-та степени отговарят на незабележими за човека разтърсвания на повърхността. Земетресенията от 4-та и 5-та степен се усещат от всички хора, при това се разлюляват висящи предмети, мебелите се преместват и стените се пукат. При 6-та и 7-ма степени се появяват пукнатини в стените, разрушават се слаби постройки и се напукват азбесто-циментовите тръби за водоснабдяване. Последното води до отклонения в качествените показатели на питейната вода.</w:t>
      </w:r>
    </w:p>
    <w:p w14:paraId="7340B59C" w14:textId="77777777" w:rsidR="00021F05" w:rsidRPr="001056C5" w:rsidRDefault="00021F05" w:rsidP="007F13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Земетресение от 8-ма степен предизвиква многобройни повреди, пукнатини, откъртване на мазилка, падане на комини, разрушаване на отделни сгради. Разрушаване на етернитови и бетонови тръби. Скъсване на местата на включване на водоснабдителната мрежа към съоръженията. Възможно е изчезване на води от водоизточниците.</w:t>
      </w:r>
    </w:p>
    <w:p w14:paraId="148405A1" w14:textId="77777777" w:rsidR="00021F05" w:rsidRPr="001056C5" w:rsidRDefault="00021F05" w:rsidP="007F13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8-ма, 9-та и 10-та степен се срутват и разрушават голяма част от сградите, събарят се кули, чупят се клони и стебла на дърветата. Масово разрушаване на метални водопроводи и съоръжения от водоснабдителните системи. Земетресение от 11-та и 12-та степен представлява катастрофа с огромни разрушения и топографски изменения на местността.</w:t>
      </w:r>
    </w:p>
    <w:tbl>
      <w:tblPr>
        <w:tblW w:w="0" w:type="auto"/>
        <w:tblCellSpacing w:w="12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04"/>
        <w:gridCol w:w="2166"/>
        <w:gridCol w:w="1679"/>
        <w:gridCol w:w="2259"/>
        <w:gridCol w:w="3063"/>
      </w:tblGrid>
      <w:tr w:rsidR="00021F05" w:rsidRPr="001056C5" w14:paraId="70DDE2C7" w14:textId="77777777" w:rsidTr="003907AE">
        <w:trPr>
          <w:tblCellSpacing w:w="12" w:type="dxa"/>
        </w:trPr>
        <w:tc>
          <w:tcPr>
            <w:tcW w:w="0" w:type="auto"/>
            <w:vAlign w:val="center"/>
          </w:tcPr>
          <w:p w14:paraId="27D8B0F4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Степен</w:t>
            </w:r>
          </w:p>
        </w:tc>
        <w:tc>
          <w:tcPr>
            <w:tcW w:w="0" w:type="auto"/>
            <w:vAlign w:val="center"/>
          </w:tcPr>
          <w:p w14:paraId="3F0954B6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Описание</w:t>
            </w:r>
          </w:p>
        </w:tc>
        <w:tc>
          <w:tcPr>
            <w:tcW w:w="0" w:type="auto"/>
            <w:vAlign w:val="center"/>
          </w:tcPr>
          <w:p w14:paraId="64039C50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Ефект върху хората</w:t>
            </w:r>
          </w:p>
        </w:tc>
        <w:tc>
          <w:tcPr>
            <w:tcW w:w="0" w:type="auto"/>
            <w:vAlign w:val="center"/>
          </w:tcPr>
          <w:p w14:paraId="79908CDD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Ефект върху сградите</w:t>
            </w:r>
          </w:p>
        </w:tc>
        <w:tc>
          <w:tcPr>
            <w:tcW w:w="0" w:type="auto"/>
            <w:vAlign w:val="center"/>
          </w:tcPr>
          <w:p w14:paraId="3978F864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Геологически ефект</w:t>
            </w:r>
          </w:p>
        </w:tc>
      </w:tr>
      <w:tr w:rsidR="00021F05" w:rsidRPr="001056C5" w14:paraId="7C48D1B4" w14:textId="77777777" w:rsidTr="003907AE">
        <w:trPr>
          <w:tblCellSpacing w:w="12" w:type="dxa"/>
        </w:trPr>
        <w:tc>
          <w:tcPr>
            <w:tcW w:w="0" w:type="auto"/>
            <w:vAlign w:val="center"/>
          </w:tcPr>
          <w:p w14:paraId="0B51CCF4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</w:t>
            </w:r>
          </w:p>
        </w:tc>
        <w:tc>
          <w:tcPr>
            <w:tcW w:w="0" w:type="auto"/>
            <w:vAlign w:val="center"/>
          </w:tcPr>
          <w:p w14:paraId="5C306C67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Микроземетресения</w:t>
            </w:r>
          </w:p>
        </w:tc>
        <w:tc>
          <w:tcPr>
            <w:tcW w:w="0" w:type="auto"/>
            <w:vAlign w:val="center"/>
          </w:tcPr>
          <w:p w14:paraId="48BB9B5C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 се усещат</w:t>
            </w:r>
          </w:p>
        </w:tc>
        <w:tc>
          <w:tcPr>
            <w:tcW w:w="0" w:type="auto"/>
            <w:vAlign w:val="center"/>
          </w:tcPr>
          <w:p w14:paraId="6044007F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—</w:t>
            </w:r>
          </w:p>
        </w:tc>
        <w:tc>
          <w:tcPr>
            <w:tcW w:w="0" w:type="auto"/>
            <w:vAlign w:val="center"/>
          </w:tcPr>
          <w:p w14:paraId="2BD3ED71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—</w:t>
            </w:r>
          </w:p>
        </w:tc>
      </w:tr>
      <w:tr w:rsidR="00021F05" w:rsidRPr="001056C5" w14:paraId="45ADE4E3" w14:textId="77777777" w:rsidTr="003907AE">
        <w:trPr>
          <w:tblCellSpacing w:w="12" w:type="dxa"/>
        </w:trPr>
        <w:tc>
          <w:tcPr>
            <w:tcW w:w="0" w:type="auto"/>
            <w:vAlign w:val="center"/>
          </w:tcPr>
          <w:p w14:paraId="10A1D570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II</w:t>
            </w:r>
          </w:p>
        </w:tc>
        <w:tc>
          <w:tcPr>
            <w:tcW w:w="0" w:type="auto"/>
            <w:vAlign w:val="center"/>
          </w:tcPr>
          <w:p w14:paraId="2B85E4A8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Много леки</w:t>
            </w:r>
          </w:p>
        </w:tc>
        <w:tc>
          <w:tcPr>
            <w:tcW w:w="0" w:type="auto"/>
            <w:vAlign w:val="center"/>
          </w:tcPr>
          <w:p w14:paraId="4AA1D8FF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Усещат се случайно</w:t>
            </w:r>
          </w:p>
        </w:tc>
        <w:tc>
          <w:tcPr>
            <w:tcW w:w="0" w:type="auto"/>
            <w:vAlign w:val="center"/>
          </w:tcPr>
          <w:p w14:paraId="3E0E91EB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—</w:t>
            </w:r>
          </w:p>
        </w:tc>
        <w:tc>
          <w:tcPr>
            <w:tcW w:w="0" w:type="auto"/>
            <w:vAlign w:val="center"/>
          </w:tcPr>
          <w:p w14:paraId="5000B1B2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—</w:t>
            </w:r>
          </w:p>
        </w:tc>
      </w:tr>
      <w:tr w:rsidR="00021F05" w:rsidRPr="001056C5" w14:paraId="6E78A3AD" w14:textId="77777777" w:rsidTr="003907AE">
        <w:trPr>
          <w:tblCellSpacing w:w="12" w:type="dxa"/>
        </w:trPr>
        <w:tc>
          <w:tcPr>
            <w:tcW w:w="0" w:type="auto"/>
            <w:vAlign w:val="center"/>
          </w:tcPr>
          <w:p w14:paraId="3B32AF88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III</w:t>
            </w:r>
          </w:p>
        </w:tc>
        <w:tc>
          <w:tcPr>
            <w:tcW w:w="0" w:type="auto"/>
            <w:vAlign w:val="center"/>
          </w:tcPr>
          <w:p w14:paraId="2284D0CC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Леки</w:t>
            </w:r>
          </w:p>
        </w:tc>
        <w:tc>
          <w:tcPr>
            <w:tcW w:w="0" w:type="auto"/>
            <w:vAlign w:val="center"/>
          </w:tcPr>
          <w:p w14:paraId="5C4AD429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Усещат се от чувствителни хора</w:t>
            </w:r>
          </w:p>
        </w:tc>
        <w:tc>
          <w:tcPr>
            <w:tcW w:w="0" w:type="auto"/>
            <w:vAlign w:val="center"/>
          </w:tcPr>
          <w:p w14:paraId="3DBA0F9F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—</w:t>
            </w:r>
          </w:p>
        </w:tc>
        <w:tc>
          <w:tcPr>
            <w:tcW w:w="0" w:type="auto"/>
            <w:vAlign w:val="center"/>
          </w:tcPr>
          <w:p w14:paraId="25F621BA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—</w:t>
            </w:r>
          </w:p>
        </w:tc>
      </w:tr>
      <w:tr w:rsidR="00021F05" w:rsidRPr="001056C5" w14:paraId="481B81E3" w14:textId="77777777" w:rsidTr="003907AE">
        <w:trPr>
          <w:tblCellSpacing w:w="12" w:type="dxa"/>
        </w:trPr>
        <w:tc>
          <w:tcPr>
            <w:tcW w:w="0" w:type="auto"/>
            <w:vAlign w:val="center"/>
          </w:tcPr>
          <w:p w14:paraId="252C0C26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IV</w:t>
            </w:r>
          </w:p>
        </w:tc>
        <w:tc>
          <w:tcPr>
            <w:tcW w:w="0" w:type="auto"/>
            <w:vAlign w:val="center"/>
          </w:tcPr>
          <w:p w14:paraId="25DAE1A7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Умерени</w:t>
            </w:r>
          </w:p>
        </w:tc>
        <w:tc>
          <w:tcPr>
            <w:tcW w:w="0" w:type="auto"/>
            <w:vAlign w:val="center"/>
          </w:tcPr>
          <w:p w14:paraId="590F80F5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Усещат се в затворено помещение</w:t>
            </w:r>
          </w:p>
        </w:tc>
        <w:tc>
          <w:tcPr>
            <w:tcW w:w="0" w:type="auto"/>
            <w:vAlign w:val="center"/>
          </w:tcPr>
          <w:p w14:paraId="42D3272C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Прозорците вибрират</w:t>
            </w:r>
          </w:p>
        </w:tc>
        <w:tc>
          <w:tcPr>
            <w:tcW w:w="0" w:type="auto"/>
            <w:vAlign w:val="center"/>
          </w:tcPr>
          <w:p w14:paraId="3992999A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—</w:t>
            </w:r>
          </w:p>
        </w:tc>
      </w:tr>
      <w:tr w:rsidR="00021F05" w:rsidRPr="001056C5" w14:paraId="6A3A1C05" w14:textId="77777777" w:rsidTr="003907AE">
        <w:trPr>
          <w:tblCellSpacing w:w="12" w:type="dxa"/>
        </w:trPr>
        <w:tc>
          <w:tcPr>
            <w:tcW w:w="0" w:type="auto"/>
            <w:vAlign w:val="center"/>
          </w:tcPr>
          <w:p w14:paraId="6252AC3E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V</w:t>
            </w:r>
          </w:p>
        </w:tc>
        <w:tc>
          <w:tcPr>
            <w:tcW w:w="0" w:type="auto"/>
            <w:vAlign w:val="center"/>
          </w:tcPr>
          <w:p w14:paraId="18A6AB01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Сравнително силни</w:t>
            </w:r>
          </w:p>
        </w:tc>
        <w:tc>
          <w:tcPr>
            <w:tcW w:w="0" w:type="auto"/>
            <w:vAlign w:val="center"/>
          </w:tcPr>
          <w:p w14:paraId="4CFB0F18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Усещат се на открито</w:t>
            </w:r>
          </w:p>
        </w:tc>
        <w:tc>
          <w:tcPr>
            <w:tcW w:w="0" w:type="auto"/>
            <w:vAlign w:val="center"/>
          </w:tcPr>
          <w:p w14:paraId="567EDB5E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Мазилката се напуква; леките мебели се местят; висящите предмети се клатят</w:t>
            </w:r>
          </w:p>
        </w:tc>
        <w:tc>
          <w:tcPr>
            <w:tcW w:w="0" w:type="auto"/>
            <w:vAlign w:val="center"/>
          </w:tcPr>
          <w:p w14:paraId="5BB28235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—</w:t>
            </w:r>
          </w:p>
        </w:tc>
      </w:tr>
      <w:tr w:rsidR="00021F05" w:rsidRPr="001056C5" w14:paraId="13E6C25C" w14:textId="77777777" w:rsidTr="003907AE">
        <w:trPr>
          <w:tblCellSpacing w:w="12" w:type="dxa"/>
        </w:trPr>
        <w:tc>
          <w:tcPr>
            <w:tcW w:w="0" w:type="auto"/>
            <w:vAlign w:val="center"/>
          </w:tcPr>
          <w:p w14:paraId="5251D3D1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VI</w:t>
            </w:r>
          </w:p>
        </w:tc>
        <w:tc>
          <w:tcPr>
            <w:tcW w:w="0" w:type="auto"/>
            <w:vAlign w:val="center"/>
          </w:tcPr>
          <w:p w14:paraId="2837D743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Силни</w:t>
            </w:r>
          </w:p>
        </w:tc>
        <w:tc>
          <w:tcPr>
            <w:tcW w:w="0" w:type="auto"/>
            <w:vAlign w:val="center"/>
          </w:tcPr>
          <w:p w14:paraId="0149F31F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Предизвикват страх</w:t>
            </w:r>
          </w:p>
        </w:tc>
        <w:tc>
          <w:tcPr>
            <w:tcW w:w="0" w:type="auto"/>
            <w:vAlign w:val="center"/>
          </w:tcPr>
          <w:p w14:paraId="0D008E35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Повреди по комините и зидарията</w:t>
            </w:r>
          </w:p>
        </w:tc>
        <w:tc>
          <w:tcPr>
            <w:tcW w:w="0" w:type="auto"/>
            <w:vAlign w:val="center"/>
          </w:tcPr>
          <w:p w14:paraId="695C4598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Изолирани пукнатини</w:t>
            </w:r>
          </w:p>
        </w:tc>
      </w:tr>
      <w:tr w:rsidR="00021F05" w:rsidRPr="001056C5" w14:paraId="3A25FEC2" w14:textId="77777777" w:rsidTr="003907AE">
        <w:trPr>
          <w:tblCellSpacing w:w="12" w:type="dxa"/>
        </w:trPr>
        <w:tc>
          <w:tcPr>
            <w:tcW w:w="0" w:type="auto"/>
            <w:vAlign w:val="center"/>
          </w:tcPr>
          <w:p w14:paraId="16BAEF08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smartTag w:uri="urn:schemas-microsoft-com:office:smarttags" w:element="stockticker">
              <w:r w:rsidRPr="001056C5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bg-BG"/>
                </w:rPr>
                <w:lastRenderedPageBreak/>
                <w:t>VII</w:t>
              </w:r>
            </w:smartTag>
          </w:p>
        </w:tc>
        <w:tc>
          <w:tcPr>
            <w:tcW w:w="0" w:type="auto"/>
            <w:vAlign w:val="center"/>
          </w:tcPr>
          <w:p w14:paraId="1C70D4CF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Много силни</w:t>
            </w:r>
          </w:p>
        </w:tc>
        <w:tc>
          <w:tcPr>
            <w:tcW w:w="0" w:type="auto"/>
            <w:vAlign w:val="center"/>
          </w:tcPr>
          <w:p w14:paraId="2FA0C6F1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Хората напускат жилищата си</w:t>
            </w:r>
          </w:p>
        </w:tc>
        <w:tc>
          <w:tcPr>
            <w:tcW w:w="0" w:type="auto"/>
            <w:vAlign w:val="center"/>
          </w:tcPr>
          <w:p w14:paraId="45FCD8CD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Комините падат; сериозни повреди по леките постройки</w:t>
            </w:r>
          </w:p>
        </w:tc>
        <w:tc>
          <w:tcPr>
            <w:tcW w:w="0" w:type="auto"/>
            <w:vAlign w:val="center"/>
          </w:tcPr>
          <w:p w14:paraId="101614BB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Изолирани свличания</w:t>
            </w:r>
          </w:p>
        </w:tc>
      </w:tr>
      <w:tr w:rsidR="00021F05" w:rsidRPr="001056C5" w14:paraId="32709A48" w14:textId="77777777" w:rsidTr="003907AE">
        <w:trPr>
          <w:tblCellSpacing w:w="12" w:type="dxa"/>
        </w:trPr>
        <w:tc>
          <w:tcPr>
            <w:tcW w:w="0" w:type="auto"/>
            <w:vAlign w:val="center"/>
          </w:tcPr>
          <w:p w14:paraId="5EAB347D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VIII</w:t>
            </w:r>
          </w:p>
        </w:tc>
        <w:tc>
          <w:tcPr>
            <w:tcW w:w="0" w:type="auto"/>
            <w:vAlign w:val="center"/>
          </w:tcPr>
          <w:p w14:paraId="69097B58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Разрушителни</w:t>
            </w:r>
          </w:p>
        </w:tc>
        <w:tc>
          <w:tcPr>
            <w:tcW w:w="0" w:type="auto"/>
            <w:vAlign w:val="center"/>
          </w:tcPr>
          <w:p w14:paraId="2BCDDA4D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Паника</w:t>
            </w:r>
          </w:p>
        </w:tc>
        <w:tc>
          <w:tcPr>
            <w:tcW w:w="0" w:type="auto"/>
            <w:vAlign w:val="center"/>
          </w:tcPr>
          <w:p w14:paraId="133C9511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Срутвания на леките постройки; повреди по напоителните канали</w:t>
            </w:r>
          </w:p>
        </w:tc>
        <w:tc>
          <w:tcPr>
            <w:tcW w:w="0" w:type="auto"/>
            <w:vAlign w:val="center"/>
          </w:tcPr>
          <w:p w14:paraId="162F5F88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промени в дебита на минералните извори; срутвания на камъни</w:t>
            </w:r>
          </w:p>
        </w:tc>
      </w:tr>
      <w:tr w:rsidR="00021F05" w:rsidRPr="001056C5" w14:paraId="773E6220" w14:textId="77777777" w:rsidTr="003907AE">
        <w:trPr>
          <w:tblCellSpacing w:w="12" w:type="dxa"/>
        </w:trPr>
        <w:tc>
          <w:tcPr>
            <w:tcW w:w="0" w:type="auto"/>
            <w:vAlign w:val="center"/>
          </w:tcPr>
          <w:p w14:paraId="24DB86A3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IX</w:t>
            </w:r>
          </w:p>
        </w:tc>
        <w:tc>
          <w:tcPr>
            <w:tcW w:w="0" w:type="auto"/>
            <w:vAlign w:val="center"/>
          </w:tcPr>
          <w:p w14:paraId="14C8E3D3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Унищожителни</w:t>
            </w:r>
          </w:p>
        </w:tc>
        <w:tc>
          <w:tcPr>
            <w:tcW w:w="0" w:type="auto"/>
            <w:vAlign w:val="center"/>
          </w:tcPr>
          <w:p w14:paraId="79D8C980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Обща паника</w:t>
            </w:r>
          </w:p>
        </w:tc>
        <w:tc>
          <w:tcPr>
            <w:tcW w:w="0" w:type="auto"/>
            <w:vAlign w:val="center"/>
          </w:tcPr>
          <w:p w14:paraId="0CB72804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Сериозни повреди на нестандартните постройки; прекъсване на подземните водопроводи</w:t>
            </w:r>
          </w:p>
        </w:tc>
        <w:tc>
          <w:tcPr>
            <w:tcW w:w="0" w:type="auto"/>
            <w:vAlign w:val="center"/>
          </w:tcPr>
          <w:p w14:paraId="6986E64F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Пукнатини; пясъчни измятания; големи свличания</w:t>
            </w:r>
          </w:p>
        </w:tc>
      </w:tr>
      <w:tr w:rsidR="00021F05" w:rsidRPr="001056C5" w14:paraId="3F8D8454" w14:textId="77777777" w:rsidTr="003907AE">
        <w:trPr>
          <w:tblCellSpacing w:w="12" w:type="dxa"/>
        </w:trPr>
        <w:tc>
          <w:tcPr>
            <w:tcW w:w="0" w:type="auto"/>
            <w:vAlign w:val="center"/>
          </w:tcPr>
          <w:p w14:paraId="2F476860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X</w:t>
            </w:r>
          </w:p>
        </w:tc>
        <w:tc>
          <w:tcPr>
            <w:tcW w:w="0" w:type="auto"/>
            <w:vAlign w:val="center"/>
          </w:tcPr>
          <w:p w14:paraId="617C035D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Опустошителни</w:t>
            </w:r>
          </w:p>
        </w:tc>
        <w:tc>
          <w:tcPr>
            <w:tcW w:w="0" w:type="auto"/>
            <w:vAlign w:val="center"/>
          </w:tcPr>
          <w:p w14:paraId="6D99F47A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Повсеместна паника</w:t>
            </w:r>
          </w:p>
        </w:tc>
        <w:tc>
          <w:tcPr>
            <w:tcW w:w="0" w:type="auto"/>
            <w:vAlign w:val="center"/>
          </w:tcPr>
          <w:p w14:paraId="4644E987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Разрушения на тухлените постройки</w:t>
            </w:r>
          </w:p>
        </w:tc>
        <w:tc>
          <w:tcPr>
            <w:tcW w:w="0" w:type="auto"/>
            <w:vAlign w:val="center"/>
          </w:tcPr>
          <w:p w14:paraId="5CBFA799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Изкривявания на жп линиите; срутвания по речните брегове; формиране на нови езера</w:t>
            </w:r>
          </w:p>
        </w:tc>
      </w:tr>
      <w:tr w:rsidR="00021F05" w:rsidRPr="001056C5" w14:paraId="381659B5" w14:textId="77777777" w:rsidTr="003907AE">
        <w:trPr>
          <w:tblCellSpacing w:w="12" w:type="dxa"/>
        </w:trPr>
        <w:tc>
          <w:tcPr>
            <w:tcW w:w="0" w:type="auto"/>
            <w:vAlign w:val="center"/>
          </w:tcPr>
          <w:p w14:paraId="331A6C00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XI</w:t>
            </w:r>
          </w:p>
        </w:tc>
        <w:tc>
          <w:tcPr>
            <w:tcW w:w="0" w:type="auto"/>
            <w:vAlign w:val="center"/>
          </w:tcPr>
          <w:p w14:paraId="17ADFB8B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Катастрофални</w:t>
            </w:r>
          </w:p>
        </w:tc>
        <w:tc>
          <w:tcPr>
            <w:tcW w:w="0" w:type="auto"/>
            <w:vAlign w:val="center"/>
          </w:tcPr>
          <w:p w14:paraId="0897B82D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—</w:t>
            </w:r>
          </w:p>
        </w:tc>
        <w:tc>
          <w:tcPr>
            <w:tcW w:w="0" w:type="auto"/>
            <w:vAlign w:val="center"/>
          </w:tcPr>
          <w:p w14:paraId="3F813E0F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Малко постройки остават частично здрави</w:t>
            </w:r>
          </w:p>
        </w:tc>
        <w:tc>
          <w:tcPr>
            <w:tcW w:w="0" w:type="auto"/>
            <w:vAlign w:val="center"/>
          </w:tcPr>
          <w:p w14:paraId="5C36A9A0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Широкоразпространени дислокации; цунами</w:t>
            </w:r>
          </w:p>
        </w:tc>
      </w:tr>
      <w:tr w:rsidR="00021F05" w:rsidRPr="001056C5" w14:paraId="3B064BF1" w14:textId="77777777" w:rsidTr="003907AE">
        <w:trPr>
          <w:tblCellSpacing w:w="12" w:type="dxa"/>
        </w:trPr>
        <w:tc>
          <w:tcPr>
            <w:tcW w:w="0" w:type="auto"/>
            <w:vAlign w:val="center"/>
          </w:tcPr>
          <w:p w14:paraId="4C7C54E3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XII</w:t>
            </w:r>
          </w:p>
        </w:tc>
        <w:tc>
          <w:tcPr>
            <w:tcW w:w="0" w:type="auto"/>
            <w:vAlign w:val="center"/>
          </w:tcPr>
          <w:p w14:paraId="58D16407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Тотални</w:t>
            </w:r>
          </w:p>
        </w:tc>
        <w:tc>
          <w:tcPr>
            <w:tcW w:w="0" w:type="auto"/>
            <w:vAlign w:val="center"/>
          </w:tcPr>
          <w:p w14:paraId="73F73908" w14:textId="77777777" w:rsidR="00021F05" w:rsidRPr="001056C5" w:rsidRDefault="00021F05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—</w:t>
            </w:r>
          </w:p>
        </w:tc>
        <w:tc>
          <w:tcPr>
            <w:tcW w:w="0" w:type="auto"/>
            <w:vAlign w:val="center"/>
          </w:tcPr>
          <w:p w14:paraId="6E53D599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Наземните и подземни постройки са напълно разрушени</w:t>
            </w:r>
          </w:p>
        </w:tc>
        <w:tc>
          <w:tcPr>
            <w:tcW w:w="0" w:type="auto"/>
            <w:vAlign w:val="center"/>
          </w:tcPr>
          <w:p w14:paraId="21364BCA" w14:textId="77777777" w:rsidR="00021F05" w:rsidRPr="001056C5" w:rsidRDefault="00021F05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Геологически размествания: цунами</w:t>
            </w:r>
          </w:p>
        </w:tc>
      </w:tr>
    </w:tbl>
    <w:p w14:paraId="7B9C21EE" w14:textId="77777777" w:rsidR="00021F05" w:rsidRPr="001056C5" w:rsidRDefault="00021F05" w:rsidP="00021F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FCEAF4F" w14:textId="77777777" w:rsidR="00D27B5D" w:rsidRDefault="00D27B5D" w:rsidP="00D27B5D">
      <w:pPr>
        <w:ind w:firstLine="708"/>
        <w:rPr>
          <w:rFonts w:ascii="Garamond" w:hAnsi="Garamond"/>
          <w:b/>
          <w:caps/>
          <w:color w:val="333333"/>
          <w:sz w:val="24"/>
          <w:szCs w:val="24"/>
        </w:rPr>
      </w:pPr>
    </w:p>
    <w:p w14:paraId="27282951" w14:textId="77777777" w:rsidR="00245443" w:rsidRDefault="00245443" w:rsidP="00D27B5D">
      <w:pPr>
        <w:ind w:firstLine="708"/>
        <w:rPr>
          <w:rFonts w:ascii="Garamond" w:hAnsi="Garamond"/>
          <w:b/>
          <w:caps/>
          <w:color w:val="333333"/>
          <w:sz w:val="24"/>
          <w:szCs w:val="24"/>
        </w:rPr>
      </w:pPr>
    </w:p>
    <w:p w14:paraId="4AC5C412" w14:textId="77777777" w:rsidR="00245443" w:rsidRDefault="00245443" w:rsidP="00D27B5D">
      <w:pPr>
        <w:ind w:firstLine="708"/>
        <w:rPr>
          <w:rFonts w:ascii="Garamond" w:hAnsi="Garamond"/>
          <w:b/>
          <w:caps/>
          <w:color w:val="333333"/>
          <w:sz w:val="24"/>
          <w:szCs w:val="24"/>
        </w:rPr>
      </w:pPr>
    </w:p>
    <w:p w14:paraId="1FFFB07F" w14:textId="77777777" w:rsidR="008215B3" w:rsidRDefault="007F1342"/>
    <w:sectPr w:rsidR="008215B3" w:rsidSect="007F134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927010"/>
    <w:multiLevelType w:val="multilevel"/>
    <w:tmpl w:val="D594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D35051"/>
    <w:multiLevelType w:val="hybridMultilevel"/>
    <w:tmpl w:val="A5C62F6C"/>
    <w:lvl w:ilvl="0" w:tplc="85A2239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BAA7E1D"/>
    <w:multiLevelType w:val="hybridMultilevel"/>
    <w:tmpl w:val="1ACA0052"/>
    <w:lvl w:ilvl="0" w:tplc="6FD8313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1F05"/>
    <w:rsid w:val="00021F05"/>
    <w:rsid w:val="00245443"/>
    <w:rsid w:val="00540CA7"/>
    <w:rsid w:val="007F1342"/>
    <w:rsid w:val="00991023"/>
    <w:rsid w:val="00D27B5D"/>
    <w:rsid w:val="00E8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;"/>
  <w14:docId w14:val="61B98536"/>
  <w15:docId w15:val="{2125C6C6-7678-4FB5-BB3D-A73145FC4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1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CharChar">
    <w:name w:val="Char Char3 Знак Знак Char Char"/>
    <w:basedOn w:val="a"/>
    <w:rsid w:val="00D27B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g.wikipedia.org/wiki/198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g.wikipedia.org/wiki/196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g.wikipedia.org/wiki/%D0%98%D0%BD%D0%B4%D0%B8%D1%8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bg.wikipedia.org/wiki/%D0%95%D0%B2%D1%80%D0%BE%D0%BF%D0%B0" TargetMode="External"/><Relationship Id="rId10" Type="http://schemas.openxmlformats.org/officeDocument/2006/relationships/hyperlink" Target="https://bg.wikipedia.org/wiki/%D0%95%D0%B2%D1%80%D0%BE%D0%BF%D0%B5%D0%B9%D1%81%D0%BA%D0%B0_%D0%BC%D0%B0%D0%BA%D1%80%D0%BE%D1%81%D0%B5%D0%B8%D0%B7%D0%BC%D0%B8%D1%87%D0%BD%D0%B0_%D1%81%D0%BA%D0%B0%D0%BB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g.wikipedia.org/wiki/1998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DSA</cp:lastModifiedBy>
  <cp:revision>6</cp:revision>
  <dcterms:created xsi:type="dcterms:W3CDTF">2019-03-18T10:27:00Z</dcterms:created>
  <dcterms:modified xsi:type="dcterms:W3CDTF">2024-09-25T06:33:00Z</dcterms:modified>
</cp:coreProperties>
</file>